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B" w:rsidRDefault="00495657" w:rsidP="00495657">
      <w:pPr>
        <w:widowControl w:val="0"/>
        <w:tabs>
          <w:tab w:val="left" w:pos="5387"/>
        </w:tabs>
        <w:rPr>
          <w:b/>
          <w:snapToGrid w:val="0"/>
          <w:color w:val="0000FF"/>
          <w:szCs w:val="24"/>
        </w:rPr>
      </w:pPr>
      <w:r w:rsidRPr="00495657">
        <w:rPr>
          <w:noProof/>
          <w:szCs w:val="24"/>
        </w:rPr>
        <w:drawing>
          <wp:inline distT="0" distB="0" distL="0" distR="0">
            <wp:extent cx="1181100" cy="1099986"/>
            <wp:effectExtent l="0" t="0" r="0" b="0"/>
            <wp:docPr id="1" name="Image 1" descr="C:\Users\dbrunet\Downloads\CDG10_LOGOTYPE_A_UTILISER_POUR_IMPRESS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unet\Downloads\CDG10_LOGOTYPE_A_UTILISER_POUR_IMPRESSIO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B" w:rsidRDefault="00ED7B7B" w:rsidP="00ED7B7B">
      <w:pPr>
        <w:widowControl w:val="0"/>
        <w:tabs>
          <w:tab w:val="left" w:pos="5387"/>
        </w:tabs>
        <w:jc w:val="center"/>
        <w:rPr>
          <w:b/>
          <w:snapToGrid w:val="0"/>
          <w:color w:val="0000FF"/>
          <w:szCs w:val="24"/>
        </w:rPr>
      </w:pPr>
    </w:p>
    <w:p w:rsidR="007A3366" w:rsidRPr="00ED7B7B" w:rsidRDefault="00B63B31" w:rsidP="00ED7B7B">
      <w:pPr>
        <w:widowControl w:val="0"/>
        <w:tabs>
          <w:tab w:val="left" w:pos="5387"/>
        </w:tabs>
        <w:jc w:val="center"/>
        <w:rPr>
          <w:rFonts w:ascii="Calibri" w:hAnsi="Calibri"/>
          <w:b/>
          <w:bCs/>
          <w:snapToGrid w:val="0"/>
          <w:color w:val="0000FF"/>
          <w:sz w:val="28"/>
          <w:szCs w:val="28"/>
        </w:rPr>
      </w:pPr>
      <w:r w:rsidRPr="00ED7B7B">
        <w:rPr>
          <w:rFonts w:ascii="Calibri" w:hAnsi="Calibri"/>
          <w:b/>
          <w:snapToGrid w:val="0"/>
          <w:color w:val="0000FF"/>
          <w:sz w:val="28"/>
          <w:szCs w:val="28"/>
        </w:rPr>
        <w:t>RECOUVREMENT DES COTISATIONS</w:t>
      </w:r>
      <w:r w:rsidR="00ED7B7B">
        <w:rPr>
          <w:rFonts w:ascii="Calibri" w:hAnsi="Calibri"/>
          <w:b/>
          <w:snapToGrid w:val="0"/>
          <w:color w:val="0000FF"/>
          <w:sz w:val="28"/>
          <w:szCs w:val="28"/>
        </w:rPr>
        <w:t xml:space="preserve"> -</w:t>
      </w:r>
      <w:r w:rsidR="0035411C" w:rsidRPr="00ED7B7B">
        <w:rPr>
          <w:rFonts w:ascii="Calibri" w:hAnsi="Calibri"/>
          <w:b/>
          <w:snapToGrid w:val="0"/>
          <w:color w:val="0000FF"/>
          <w:sz w:val="28"/>
          <w:szCs w:val="28"/>
        </w:rPr>
        <w:t xml:space="preserve"> </w:t>
      </w:r>
      <w:r w:rsidR="001E20E7" w:rsidRPr="00ED7B7B">
        <w:rPr>
          <w:rFonts w:ascii="Calibri" w:hAnsi="Calibri"/>
          <w:b/>
          <w:snapToGrid w:val="0"/>
          <w:color w:val="0000FF"/>
          <w:sz w:val="28"/>
          <w:szCs w:val="28"/>
        </w:rPr>
        <w:t xml:space="preserve">ANNEE </w:t>
      </w:r>
      <w:r w:rsidR="002875F4">
        <w:rPr>
          <w:rFonts w:ascii="Calibri" w:hAnsi="Calibri"/>
          <w:b/>
          <w:snapToGrid w:val="0"/>
          <w:color w:val="0000FF"/>
          <w:sz w:val="28"/>
          <w:szCs w:val="28"/>
        </w:rPr>
        <w:t>2025</w:t>
      </w:r>
    </w:p>
    <w:p w:rsidR="007A3366" w:rsidRDefault="007A3366" w:rsidP="00ED7B7B">
      <w:pPr>
        <w:widowControl w:val="0"/>
        <w:rPr>
          <w:snapToGrid w:val="0"/>
          <w:szCs w:val="24"/>
        </w:rPr>
      </w:pPr>
    </w:p>
    <w:p w:rsidR="00803CAA" w:rsidRDefault="00803CAA">
      <w:pPr>
        <w:widowControl w:val="0"/>
        <w:rPr>
          <w:snapToGrid w:val="0"/>
          <w:szCs w:val="24"/>
        </w:rPr>
      </w:pPr>
    </w:p>
    <w:p w:rsidR="007A3366" w:rsidRPr="00355801" w:rsidRDefault="00BA53DF" w:rsidP="009859FB">
      <w:pPr>
        <w:widowControl w:val="0"/>
        <w:spacing w:before="240"/>
        <w:jc w:val="both"/>
        <w:rPr>
          <w:rFonts w:ascii="Calibri" w:hAnsi="Calibri"/>
          <w:snapToGrid w:val="0"/>
          <w:sz w:val="22"/>
          <w:szCs w:val="22"/>
        </w:rPr>
      </w:pPr>
      <w:r w:rsidRPr="00355801">
        <w:rPr>
          <w:rFonts w:ascii="Calibri" w:hAnsi="Calibri"/>
          <w:snapToGrid w:val="0"/>
          <w:sz w:val="22"/>
          <w:szCs w:val="22"/>
        </w:rPr>
        <w:t>Le Conseil d’Adm</w:t>
      </w:r>
      <w:r w:rsidR="00B63B31" w:rsidRPr="00355801">
        <w:rPr>
          <w:rFonts w:ascii="Calibri" w:hAnsi="Calibri"/>
          <w:snapToGrid w:val="0"/>
          <w:sz w:val="22"/>
          <w:szCs w:val="22"/>
        </w:rPr>
        <w:t>inistration du Centre de Gestion de La Fonction Publique de l’A</w:t>
      </w:r>
      <w:r w:rsidR="00DA1F30" w:rsidRPr="00355801">
        <w:rPr>
          <w:rFonts w:ascii="Calibri" w:hAnsi="Calibri"/>
          <w:snapToGrid w:val="0"/>
          <w:sz w:val="22"/>
          <w:szCs w:val="22"/>
        </w:rPr>
        <w:t>ube</w:t>
      </w:r>
      <w:r w:rsidR="00B63B31" w:rsidRPr="00355801">
        <w:rPr>
          <w:rFonts w:ascii="Calibri" w:hAnsi="Calibri"/>
          <w:snapToGrid w:val="0"/>
          <w:sz w:val="22"/>
          <w:szCs w:val="22"/>
        </w:rPr>
        <w:t xml:space="preserve"> </w:t>
      </w:r>
      <w:r w:rsidR="001E20E7" w:rsidRPr="00355801">
        <w:rPr>
          <w:rFonts w:ascii="Calibri" w:hAnsi="Calibri"/>
          <w:snapToGrid w:val="0"/>
          <w:sz w:val="22"/>
          <w:szCs w:val="22"/>
        </w:rPr>
        <w:t xml:space="preserve">qui s’est réuni </w:t>
      </w:r>
      <w:r w:rsidR="001811AB">
        <w:rPr>
          <w:rFonts w:ascii="Calibri" w:hAnsi="Calibri"/>
          <w:snapToGrid w:val="0"/>
          <w:sz w:val="22"/>
          <w:szCs w:val="22"/>
        </w:rPr>
        <w:br/>
      </w:r>
      <w:r w:rsidR="001E20E7" w:rsidRPr="00355801">
        <w:rPr>
          <w:rFonts w:ascii="Calibri" w:hAnsi="Calibri"/>
          <w:snapToGrid w:val="0"/>
          <w:sz w:val="22"/>
          <w:szCs w:val="22"/>
        </w:rPr>
        <w:t xml:space="preserve">le </w:t>
      </w:r>
      <w:r w:rsidR="00112999" w:rsidRPr="001E3E2E">
        <w:rPr>
          <w:rFonts w:ascii="Calibri" w:hAnsi="Calibri"/>
          <w:snapToGrid w:val="0"/>
          <w:sz w:val="22"/>
          <w:szCs w:val="22"/>
        </w:rPr>
        <w:t>2</w:t>
      </w:r>
      <w:r w:rsidR="002875F4">
        <w:rPr>
          <w:rFonts w:ascii="Calibri" w:hAnsi="Calibri"/>
          <w:snapToGrid w:val="0"/>
          <w:sz w:val="22"/>
          <w:szCs w:val="22"/>
        </w:rPr>
        <w:t>9 novembre 2024</w:t>
      </w:r>
      <w:r w:rsidR="007531A2">
        <w:rPr>
          <w:rFonts w:ascii="Calibri" w:hAnsi="Calibri"/>
          <w:snapToGrid w:val="0"/>
          <w:sz w:val="22"/>
          <w:szCs w:val="22"/>
        </w:rPr>
        <w:t>,</w:t>
      </w:r>
      <w:r w:rsidRPr="00355801">
        <w:rPr>
          <w:rFonts w:ascii="Calibri" w:hAnsi="Calibri"/>
          <w:snapToGrid w:val="0"/>
          <w:sz w:val="22"/>
          <w:szCs w:val="22"/>
        </w:rPr>
        <w:t xml:space="preserve"> compte tenu de l’adoption d</w:t>
      </w:r>
      <w:r w:rsidR="00B63B31" w:rsidRPr="00355801">
        <w:rPr>
          <w:rFonts w:ascii="Calibri" w:hAnsi="Calibri"/>
          <w:snapToGrid w:val="0"/>
          <w:sz w:val="22"/>
          <w:szCs w:val="22"/>
        </w:rPr>
        <w:t>es orientations budgétaires 20</w:t>
      </w:r>
      <w:r w:rsidR="00AA7EF4">
        <w:rPr>
          <w:rFonts w:ascii="Calibri" w:hAnsi="Calibri"/>
          <w:snapToGrid w:val="0"/>
          <w:sz w:val="22"/>
          <w:szCs w:val="22"/>
        </w:rPr>
        <w:t>2</w:t>
      </w:r>
      <w:r w:rsidR="002875F4">
        <w:rPr>
          <w:rFonts w:ascii="Calibri" w:hAnsi="Calibri"/>
          <w:snapToGrid w:val="0"/>
          <w:sz w:val="22"/>
          <w:szCs w:val="22"/>
        </w:rPr>
        <w:t>5</w:t>
      </w:r>
      <w:r w:rsidRPr="00355801">
        <w:rPr>
          <w:rFonts w:ascii="Calibri" w:hAnsi="Calibri"/>
          <w:snapToGrid w:val="0"/>
          <w:sz w:val="22"/>
          <w:szCs w:val="22"/>
        </w:rPr>
        <w:t>,</w:t>
      </w:r>
      <w:r w:rsidR="00B63B31" w:rsidRPr="00355801">
        <w:rPr>
          <w:rFonts w:ascii="Calibri" w:hAnsi="Calibri"/>
          <w:snapToGrid w:val="0"/>
          <w:sz w:val="22"/>
          <w:szCs w:val="22"/>
        </w:rPr>
        <w:t xml:space="preserve"> </w:t>
      </w:r>
      <w:r w:rsidRPr="00355801">
        <w:rPr>
          <w:rFonts w:ascii="Calibri" w:hAnsi="Calibri"/>
          <w:snapToGrid w:val="0"/>
          <w:sz w:val="22"/>
          <w:szCs w:val="22"/>
        </w:rPr>
        <w:t>a</w:t>
      </w:r>
      <w:r w:rsidR="004B7426" w:rsidRPr="00355801">
        <w:rPr>
          <w:rFonts w:ascii="Calibri" w:hAnsi="Calibri"/>
          <w:snapToGrid w:val="0"/>
          <w:sz w:val="22"/>
          <w:szCs w:val="22"/>
        </w:rPr>
        <w:t xml:space="preserve"> décidé, </w:t>
      </w:r>
      <w:r w:rsidRPr="00355801">
        <w:rPr>
          <w:rFonts w:ascii="Calibri" w:hAnsi="Calibri"/>
          <w:snapToGrid w:val="0"/>
          <w:sz w:val="22"/>
          <w:szCs w:val="22"/>
        </w:rPr>
        <w:t>à l’unanimité de ses membres présents</w:t>
      </w:r>
      <w:r w:rsidR="004B7426" w:rsidRPr="00355801">
        <w:rPr>
          <w:rFonts w:ascii="Calibri" w:hAnsi="Calibri"/>
          <w:snapToGrid w:val="0"/>
          <w:sz w:val="22"/>
          <w:szCs w:val="22"/>
        </w:rPr>
        <w:t>,</w:t>
      </w:r>
      <w:r w:rsidRPr="00355801">
        <w:rPr>
          <w:rFonts w:ascii="Calibri" w:hAnsi="Calibri"/>
          <w:snapToGrid w:val="0"/>
          <w:sz w:val="22"/>
          <w:szCs w:val="22"/>
        </w:rPr>
        <w:t xml:space="preserve"> de </w:t>
      </w:r>
      <w:r w:rsidR="00B63B31" w:rsidRPr="00355801">
        <w:rPr>
          <w:rFonts w:ascii="Calibri" w:hAnsi="Calibri"/>
          <w:snapToGrid w:val="0"/>
          <w:sz w:val="22"/>
          <w:szCs w:val="22"/>
        </w:rPr>
        <w:t>maintenir</w:t>
      </w:r>
      <w:r w:rsidR="0001268E" w:rsidRPr="00355801">
        <w:rPr>
          <w:rFonts w:ascii="Calibri" w:hAnsi="Calibri"/>
          <w:snapToGrid w:val="0"/>
          <w:sz w:val="22"/>
          <w:szCs w:val="22"/>
        </w:rPr>
        <w:t xml:space="preserve"> les mêmes taux pour</w:t>
      </w:r>
      <w:r w:rsidRPr="00355801">
        <w:rPr>
          <w:rFonts w:ascii="Calibri" w:hAnsi="Calibri"/>
          <w:snapToGrid w:val="0"/>
          <w:sz w:val="22"/>
          <w:szCs w:val="22"/>
        </w:rPr>
        <w:t xml:space="preserve"> </w:t>
      </w:r>
      <w:r w:rsidRPr="00355801">
        <w:rPr>
          <w:rFonts w:ascii="Calibri" w:hAnsi="Calibri"/>
          <w:b/>
          <w:snapToGrid w:val="0"/>
          <w:sz w:val="22"/>
          <w:szCs w:val="22"/>
          <w:u w:val="single"/>
        </w:rPr>
        <w:t>l’année 20</w:t>
      </w:r>
      <w:r w:rsidR="00AA7EF4">
        <w:rPr>
          <w:rFonts w:ascii="Calibri" w:hAnsi="Calibri"/>
          <w:b/>
          <w:snapToGrid w:val="0"/>
          <w:sz w:val="22"/>
          <w:szCs w:val="22"/>
          <w:u w:val="single"/>
        </w:rPr>
        <w:t>2</w:t>
      </w:r>
      <w:r w:rsidR="002875F4">
        <w:rPr>
          <w:rFonts w:ascii="Calibri" w:hAnsi="Calibri"/>
          <w:b/>
          <w:snapToGrid w:val="0"/>
          <w:sz w:val="22"/>
          <w:szCs w:val="22"/>
          <w:u w:val="single"/>
        </w:rPr>
        <w:t>5</w:t>
      </w:r>
      <w:r w:rsidR="0001268E" w:rsidRPr="00355801">
        <w:rPr>
          <w:rFonts w:ascii="Calibri" w:hAnsi="Calibri"/>
          <w:snapToGrid w:val="0"/>
          <w:sz w:val="22"/>
          <w:szCs w:val="22"/>
        </w:rPr>
        <w:t xml:space="preserve"> qui sont les s</w:t>
      </w:r>
      <w:r w:rsidR="004B7426" w:rsidRPr="00355801">
        <w:rPr>
          <w:rFonts w:ascii="Calibri" w:hAnsi="Calibri"/>
          <w:snapToGrid w:val="0"/>
          <w:sz w:val="22"/>
          <w:szCs w:val="22"/>
        </w:rPr>
        <w:t>uivants</w:t>
      </w:r>
      <w:r w:rsidRPr="00355801">
        <w:rPr>
          <w:rFonts w:ascii="Calibri" w:hAnsi="Calibri"/>
          <w:snapToGrid w:val="0"/>
          <w:sz w:val="22"/>
          <w:szCs w:val="22"/>
        </w:rPr>
        <w:t> :</w:t>
      </w:r>
    </w:p>
    <w:p w:rsidR="00BA53DF" w:rsidRPr="00355801" w:rsidRDefault="00670EB5" w:rsidP="00670EB5">
      <w:pPr>
        <w:widowControl w:val="0"/>
        <w:pBdr>
          <w:top w:val="single" w:sz="4" w:space="1" w:color="0070C0"/>
        </w:pBdr>
        <w:spacing w:before="240"/>
        <w:ind w:firstLine="1134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</w:p>
    <w:p w:rsidR="0043206A" w:rsidRDefault="00495657" w:rsidP="009859FB">
      <w:pPr>
        <w:widowControl w:val="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37465</wp:posOffset>
                </wp:positionV>
                <wp:extent cx="90805" cy="495300"/>
                <wp:effectExtent l="7620" t="12065" r="6350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5300"/>
                        </a:xfrm>
                        <a:prstGeom prst="rightBrace">
                          <a:avLst>
                            <a:gd name="adj1" fmla="val 454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A42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231.9pt;margin-top:2.95pt;width:7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"/>
            </w:pict>
          </mc:Fallback>
        </mc:AlternateContent>
      </w:r>
      <w:r w:rsidR="00670EB5" w:rsidRPr="00355801">
        <w:rPr>
          <w:rFonts w:ascii="Calibri" w:hAnsi="Calibri"/>
          <w:b/>
          <w:snapToGrid w:val="0"/>
          <w:sz w:val="22"/>
          <w:szCs w:val="22"/>
        </w:rPr>
        <w:tab/>
        <w:t>Cotisation de base</w:t>
      </w:r>
      <w:r w:rsidR="00670EB5" w:rsidRPr="00355801">
        <w:rPr>
          <w:rFonts w:ascii="Calibri" w:hAnsi="Calibri"/>
          <w:b/>
          <w:snapToGrid w:val="0"/>
          <w:sz w:val="22"/>
          <w:szCs w:val="22"/>
        </w:rPr>
        <w:tab/>
      </w:r>
      <w:r w:rsidR="00670EB5">
        <w:rPr>
          <w:rFonts w:ascii="Calibri" w:hAnsi="Calibri"/>
          <w:b/>
          <w:snapToGrid w:val="0"/>
          <w:sz w:val="22"/>
          <w:szCs w:val="22"/>
        </w:rPr>
        <w:tab/>
      </w:r>
      <w:r w:rsidR="00670EB5" w:rsidRPr="00355801">
        <w:rPr>
          <w:rFonts w:ascii="Calibri" w:hAnsi="Calibri"/>
          <w:b/>
          <w:snapToGrid w:val="0"/>
          <w:sz w:val="22"/>
          <w:szCs w:val="22"/>
        </w:rPr>
        <w:t>0,80 %</w:t>
      </w:r>
    </w:p>
    <w:p w:rsidR="00670EB5" w:rsidRDefault="00670EB5" w:rsidP="009859FB">
      <w:pPr>
        <w:widowControl w:val="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proofErr w:type="gramStart"/>
      <w:r w:rsidR="000649DF">
        <w:rPr>
          <w:b/>
          <w:snapToGrid w:val="0"/>
          <w:szCs w:val="24"/>
        </w:rPr>
        <w:t>soit</w:t>
      </w:r>
      <w:proofErr w:type="gramEnd"/>
      <w:r w:rsidR="000649DF">
        <w:rPr>
          <w:b/>
          <w:snapToGrid w:val="0"/>
          <w:szCs w:val="24"/>
        </w:rPr>
        <w:t xml:space="preserve"> 1,</w:t>
      </w:r>
      <w:r w:rsidR="002875F4">
        <w:rPr>
          <w:b/>
          <w:snapToGrid w:val="0"/>
          <w:szCs w:val="24"/>
        </w:rPr>
        <w:t>70</w:t>
      </w:r>
      <w:r w:rsidRPr="00304387">
        <w:rPr>
          <w:b/>
          <w:snapToGrid w:val="0"/>
          <w:szCs w:val="24"/>
        </w:rPr>
        <w:t xml:space="preserve"> % de la</w:t>
      </w:r>
      <w:r w:rsidRPr="00670EB5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Pr="00304387">
        <w:rPr>
          <w:b/>
          <w:snapToGrid w:val="0"/>
          <w:szCs w:val="24"/>
        </w:rPr>
        <w:t>masse salariale</w:t>
      </w:r>
    </w:p>
    <w:p w:rsidR="00670EB5" w:rsidRDefault="00670EB5" w:rsidP="00670EB5">
      <w:r w:rsidRPr="00355801">
        <w:rPr>
          <w:rFonts w:ascii="Calibri" w:hAnsi="Calibri"/>
          <w:b/>
          <w:snapToGrid w:val="0"/>
          <w:sz w:val="22"/>
          <w:szCs w:val="22"/>
        </w:rPr>
        <w:tab/>
        <w:t>Cotisation additionnelle</w:t>
      </w:r>
      <w:r w:rsidRPr="00355801">
        <w:rPr>
          <w:rFonts w:ascii="Calibri" w:hAnsi="Calibri"/>
          <w:b/>
          <w:snapToGrid w:val="0"/>
          <w:sz w:val="22"/>
          <w:szCs w:val="22"/>
        </w:rPr>
        <w:tab/>
        <w:t>0,</w:t>
      </w:r>
      <w:r w:rsidR="002875F4">
        <w:rPr>
          <w:rFonts w:ascii="Calibri" w:hAnsi="Calibri"/>
          <w:b/>
          <w:snapToGrid w:val="0"/>
          <w:sz w:val="22"/>
          <w:szCs w:val="22"/>
        </w:rPr>
        <w:t>90</w:t>
      </w:r>
      <w:r w:rsidRPr="00355801">
        <w:rPr>
          <w:rFonts w:ascii="Calibri" w:hAnsi="Calibri"/>
          <w:b/>
          <w:snapToGrid w:val="0"/>
          <w:sz w:val="22"/>
          <w:szCs w:val="22"/>
        </w:rPr>
        <w:t xml:space="preserve"> %</w:t>
      </w:r>
    </w:p>
    <w:p w:rsidR="00670EB5" w:rsidRPr="00355801" w:rsidRDefault="00670EB5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43206A" w:rsidRPr="00355801" w:rsidRDefault="0043206A" w:rsidP="00670EB5">
      <w:pPr>
        <w:widowControl w:val="0"/>
        <w:pBdr>
          <w:top w:val="single" w:sz="4" w:space="1" w:color="0070C0"/>
        </w:pBdr>
        <w:jc w:val="both"/>
        <w:rPr>
          <w:rFonts w:ascii="Calibri" w:hAnsi="Calibri"/>
          <w:snapToGrid w:val="0"/>
          <w:sz w:val="22"/>
          <w:szCs w:val="22"/>
        </w:rPr>
      </w:pPr>
    </w:p>
    <w:p w:rsidR="007A3366" w:rsidRPr="00355801" w:rsidRDefault="00304387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355801">
        <w:rPr>
          <w:rFonts w:ascii="Calibri" w:hAnsi="Calibri"/>
          <w:snapToGrid w:val="0"/>
          <w:sz w:val="22"/>
          <w:szCs w:val="22"/>
        </w:rPr>
        <w:t xml:space="preserve">Cette cotisation est assise sur </w:t>
      </w:r>
      <w:r w:rsidRPr="00355801">
        <w:rPr>
          <w:rFonts w:ascii="Calibri" w:hAnsi="Calibri"/>
          <w:b/>
          <w:snapToGrid w:val="0"/>
          <w:sz w:val="22"/>
          <w:szCs w:val="22"/>
        </w:rPr>
        <w:t>la masse des rémunérations versées aux agents relevant d’une collectivité ou d’un établissement public</w:t>
      </w:r>
      <w:r w:rsidRPr="00355801">
        <w:rPr>
          <w:rFonts w:ascii="Calibri" w:hAnsi="Calibri"/>
          <w:snapToGrid w:val="0"/>
          <w:sz w:val="22"/>
          <w:szCs w:val="22"/>
        </w:rPr>
        <w:t xml:space="preserve"> telles qu’elles apparaissent aux états liquidatifs </w:t>
      </w:r>
      <w:r w:rsidRPr="00355801">
        <w:rPr>
          <w:rFonts w:ascii="Calibri" w:hAnsi="Calibri"/>
          <w:snapToGrid w:val="0"/>
          <w:sz w:val="22"/>
          <w:szCs w:val="22"/>
          <w:u w:val="single"/>
        </w:rPr>
        <w:t>mensuels</w:t>
      </w:r>
      <w:r w:rsidRPr="00355801">
        <w:rPr>
          <w:rFonts w:ascii="Calibri" w:hAnsi="Calibri"/>
          <w:snapToGrid w:val="0"/>
          <w:sz w:val="22"/>
          <w:szCs w:val="22"/>
        </w:rPr>
        <w:t xml:space="preserve">, </w:t>
      </w:r>
      <w:r w:rsidRPr="00355801">
        <w:rPr>
          <w:rFonts w:ascii="Calibri" w:hAnsi="Calibri"/>
          <w:snapToGrid w:val="0"/>
          <w:sz w:val="22"/>
          <w:szCs w:val="22"/>
          <w:u w:val="single"/>
        </w:rPr>
        <w:t>trimestriels</w:t>
      </w:r>
      <w:r w:rsidRPr="00355801">
        <w:rPr>
          <w:rFonts w:ascii="Calibri" w:hAnsi="Calibri"/>
          <w:snapToGrid w:val="0"/>
          <w:sz w:val="22"/>
          <w:szCs w:val="22"/>
        </w:rPr>
        <w:t xml:space="preserve"> ou </w:t>
      </w:r>
      <w:r w:rsidRPr="00355801">
        <w:rPr>
          <w:rFonts w:ascii="Calibri" w:hAnsi="Calibri"/>
          <w:snapToGrid w:val="0"/>
          <w:sz w:val="22"/>
          <w:szCs w:val="22"/>
          <w:u w:val="single"/>
        </w:rPr>
        <w:t xml:space="preserve">annuels </w:t>
      </w:r>
      <w:r w:rsidRPr="00355801">
        <w:rPr>
          <w:rFonts w:ascii="Calibri" w:hAnsi="Calibri"/>
          <w:snapToGrid w:val="0"/>
          <w:sz w:val="22"/>
          <w:szCs w:val="22"/>
        </w:rPr>
        <w:t>dressés pour le règlement des charges sociales dues aux organismes de sécurité sociale (URSSAF), au titre de l’assurance maladie.</w:t>
      </w:r>
    </w:p>
    <w:p w:rsidR="0043206A" w:rsidRPr="00355801" w:rsidRDefault="0043206A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7A3366" w:rsidRPr="00355801" w:rsidRDefault="009872C1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355801">
        <w:rPr>
          <w:rFonts w:ascii="Calibri" w:hAnsi="Calibri"/>
          <w:snapToGrid w:val="0"/>
          <w:sz w:val="22"/>
          <w:szCs w:val="22"/>
        </w:rPr>
        <w:t>Pour les collectivités et établissements qui emploient des agents à temps non complet, fonctionnaires de l’Etat ou d’une autre collectivité territoriale (exemple : Secrétaire de Mairie Instituteur, activité accessoire) la cotisation est assise sur la masse des rémunérations versées à ces agents.</w:t>
      </w:r>
    </w:p>
    <w:p w:rsidR="0043206A" w:rsidRPr="00355801" w:rsidRDefault="0043206A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7A3366" w:rsidRPr="00355801" w:rsidRDefault="00B51EB2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355801">
        <w:rPr>
          <w:rFonts w:ascii="Calibri" w:hAnsi="Calibri"/>
          <w:snapToGrid w:val="0"/>
          <w:sz w:val="22"/>
          <w:szCs w:val="22"/>
        </w:rPr>
        <w:t xml:space="preserve">L'article </w:t>
      </w:r>
      <w:r w:rsidR="002875F4">
        <w:rPr>
          <w:rFonts w:ascii="Calibri" w:hAnsi="Calibri"/>
          <w:snapToGrid w:val="0"/>
          <w:sz w:val="22"/>
          <w:szCs w:val="22"/>
        </w:rPr>
        <w:t>L542-29 du Code Général de la Fonction Publique</w:t>
      </w:r>
      <w:r w:rsidRPr="00355801">
        <w:rPr>
          <w:rFonts w:ascii="Calibri" w:hAnsi="Calibri"/>
          <w:snapToGrid w:val="0"/>
          <w:sz w:val="22"/>
          <w:szCs w:val="22"/>
        </w:rPr>
        <w:t xml:space="preserve"> précise que «</w:t>
      </w:r>
      <w:r w:rsidRPr="00355801">
        <w:rPr>
          <w:rFonts w:ascii="Calibri" w:hAnsi="Calibri"/>
          <w:b/>
          <w:snapToGrid w:val="0"/>
          <w:sz w:val="22"/>
          <w:szCs w:val="22"/>
        </w:rPr>
        <w:t>les cotisations sont liquidées et versées selon les mêmes modalités et périodicité que les versements aux organismes de sécurité s</w:t>
      </w:r>
      <w:bookmarkStart w:id="0" w:name="_GoBack"/>
      <w:bookmarkEnd w:id="0"/>
      <w:r w:rsidRPr="00355801">
        <w:rPr>
          <w:rFonts w:ascii="Calibri" w:hAnsi="Calibri"/>
          <w:b/>
          <w:snapToGrid w:val="0"/>
          <w:sz w:val="22"/>
          <w:szCs w:val="22"/>
        </w:rPr>
        <w:t>ociale</w:t>
      </w:r>
      <w:r w:rsidRPr="00355801">
        <w:rPr>
          <w:rFonts w:ascii="Calibri" w:hAnsi="Calibri"/>
          <w:snapToGrid w:val="0"/>
          <w:sz w:val="22"/>
          <w:szCs w:val="22"/>
        </w:rPr>
        <w:t>».</w:t>
      </w:r>
    </w:p>
    <w:p w:rsidR="0043206A" w:rsidRPr="00355801" w:rsidRDefault="0043206A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4C2141" w:rsidRPr="00355801" w:rsidRDefault="00147CFB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Ce</w:t>
      </w:r>
      <w:r w:rsidR="00D574EB" w:rsidRPr="00355801">
        <w:rPr>
          <w:rFonts w:ascii="Calibri" w:hAnsi="Calibri"/>
          <w:snapToGrid w:val="0"/>
          <w:sz w:val="22"/>
          <w:szCs w:val="22"/>
        </w:rPr>
        <w:t xml:space="preserve">tte </w:t>
      </w:r>
      <w:r w:rsidR="004C2141" w:rsidRPr="00355801">
        <w:rPr>
          <w:rFonts w:ascii="Calibri" w:hAnsi="Calibri"/>
          <w:snapToGrid w:val="0"/>
          <w:sz w:val="22"/>
          <w:szCs w:val="22"/>
        </w:rPr>
        <w:t xml:space="preserve">procédure </w:t>
      </w:r>
      <w:r>
        <w:rPr>
          <w:rFonts w:ascii="Calibri" w:hAnsi="Calibri"/>
          <w:snapToGrid w:val="0"/>
          <w:sz w:val="22"/>
          <w:szCs w:val="22"/>
        </w:rPr>
        <w:t>est</w:t>
      </w:r>
      <w:r w:rsidR="004C2141" w:rsidRPr="00355801">
        <w:rPr>
          <w:rFonts w:ascii="Calibri" w:hAnsi="Calibri"/>
          <w:snapToGrid w:val="0"/>
          <w:sz w:val="22"/>
          <w:szCs w:val="22"/>
        </w:rPr>
        <w:t xml:space="preserve"> dématérialisée </w:t>
      </w:r>
      <w:r w:rsidR="000958EA" w:rsidRPr="00355801">
        <w:rPr>
          <w:rFonts w:ascii="Calibri" w:hAnsi="Calibri"/>
          <w:snapToGrid w:val="0"/>
          <w:sz w:val="22"/>
          <w:szCs w:val="22"/>
        </w:rPr>
        <w:t>via</w:t>
      </w:r>
      <w:r w:rsidR="00BF042B" w:rsidRPr="00BF042B">
        <w:t xml:space="preserve"> </w:t>
      </w:r>
      <w:r w:rsidR="00BF042B" w:rsidRPr="00BF042B">
        <w:rPr>
          <w:rFonts w:ascii="Calibri" w:hAnsi="Calibri"/>
          <w:snapToGrid w:val="0"/>
          <w:sz w:val="22"/>
          <w:szCs w:val="22"/>
        </w:rPr>
        <w:t>https://www.cdg10.fr/</w:t>
      </w:r>
    </w:p>
    <w:p w:rsidR="0043206A" w:rsidRPr="00355801" w:rsidRDefault="0043206A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9859FB" w:rsidRPr="00355801" w:rsidRDefault="009859FB" w:rsidP="007531A2">
      <w:pPr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rPr>
          <w:rFonts w:ascii="Calibri" w:hAnsi="Calibri"/>
          <w:b/>
          <w:snapToGrid w:val="0"/>
          <w:color w:val="FF0000"/>
          <w:sz w:val="22"/>
          <w:szCs w:val="22"/>
        </w:rPr>
      </w:pPr>
      <w:r w:rsidRPr="00355801">
        <w:rPr>
          <w:rFonts w:ascii="Calibri" w:hAnsi="Calibri"/>
          <w:b/>
          <w:snapToGrid w:val="0"/>
          <w:color w:val="FF0000"/>
          <w:sz w:val="22"/>
          <w:szCs w:val="22"/>
        </w:rPr>
        <w:t>Je me</w:t>
      </w:r>
      <w:r w:rsidR="00355801" w:rsidRPr="00355801">
        <w:rPr>
          <w:rFonts w:ascii="Calibri" w:hAnsi="Calibri"/>
          <w:b/>
          <w:snapToGrid w:val="0"/>
          <w:color w:val="FF0000"/>
          <w:sz w:val="22"/>
          <w:szCs w:val="22"/>
        </w:rPr>
        <w:t xml:space="preserve"> permets de vous rappeler qu’afin d’éviter des problèmes de gestion au sein </w:t>
      </w:r>
      <w:r w:rsidR="00355801">
        <w:rPr>
          <w:rFonts w:ascii="Calibri" w:hAnsi="Calibri"/>
          <w:b/>
          <w:snapToGrid w:val="0"/>
          <w:color w:val="FF0000"/>
          <w:sz w:val="22"/>
          <w:szCs w:val="22"/>
        </w:rPr>
        <w:t xml:space="preserve">des services </w:t>
      </w:r>
      <w:r w:rsidR="00355801" w:rsidRPr="00355801">
        <w:rPr>
          <w:rFonts w:ascii="Calibri" w:hAnsi="Calibri"/>
          <w:b/>
          <w:snapToGrid w:val="0"/>
          <w:color w:val="FF0000"/>
          <w:sz w:val="22"/>
          <w:szCs w:val="22"/>
        </w:rPr>
        <w:t>de notre Trésorerie et de notre Etablissement, il est impératif que les déclarations soient saisies simultanément aux versements.</w:t>
      </w:r>
    </w:p>
    <w:p w:rsidR="0043206A" w:rsidRPr="00355801" w:rsidRDefault="0043206A" w:rsidP="009859FB">
      <w:pPr>
        <w:widowControl w:val="0"/>
        <w:jc w:val="both"/>
        <w:rPr>
          <w:rFonts w:ascii="Calibri" w:hAnsi="Calibri"/>
          <w:b/>
          <w:snapToGrid w:val="0"/>
          <w:color w:val="FF0000"/>
          <w:sz w:val="22"/>
          <w:szCs w:val="22"/>
        </w:rPr>
      </w:pPr>
    </w:p>
    <w:p w:rsidR="00355801" w:rsidRPr="00355801" w:rsidRDefault="00355801" w:rsidP="009859FB">
      <w:pPr>
        <w:widowControl w:val="0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>N’oubliez pas également que (qu’) :</w:t>
      </w:r>
    </w:p>
    <w:p w:rsidR="00355801" w:rsidRPr="00355801" w:rsidRDefault="00355801" w:rsidP="009859FB">
      <w:pPr>
        <w:widowControl w:val="0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</w:p>
    <w:p w:rsidR="009859FB" w:rsidRPr="00355801" w:rsidRDefault="009859FB" w:rsidP="0043206A">
      <w:pPr>
        <w:widowControl w:val="0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>Une seule d</w:t>
      </w:r>
      <w:r w:rsidR="00DA1F30" w:rsidRPr="00355801">
        <w:rPr>
          <w:rFonts w:ascii="Calibri" w:hAnsi="Calibri"/>
          <w:b/>
          <w:snapToGrid w:val="0"/>
          <w:color w:val="7030A0"/>
          <w:sz w:val="22"/>
          <w:szCs w:val="22"/>
        </w:rPr>
        <w:t>éclaration doit être effectuée par collectivité ou établisseme</w:t>
      </w: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>nt.</w:t>
      </w:r>
    </w:p>
    <w:p w:rsidR="0043206A" w:rsidRPr="00355801" w:rsidRDefault="0043206A" w:rsidP="0043206A">
      <w:pPr>
        <w:widowControl w:val="0"/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</w:p>
    <w:p w:rsidR="00803CAA" w:rsidRPr="00355801" w:rsidRDefault="009859FB" w:rsidP="0043206A">
      <w:pPr>
        <w:widowControl w:val="0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>U</w:t>
      </w:r>
      <w:r w:rsidR="00DA1F30" w:rsidRPr="00355801">
        <w:rPr>
          <w:rFonts w:ascii="Calibri" w:hAnsi="Calibri"/>
          <w:b/>
          <w:snapToGrid w:val="0"/>
          <w:color w:val="7030A0"/>
          <w:sz w:val="22"/>
          <w:szCs w:val="22"/>
        </w:rPr>
        <w:t>n mandat doit correspondre à une déclaration.</w:t>
      </w: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 xml:space="preserve"> </w:t>
      </w:r>
    </w:p>
    <w:p w:rsidR="0043206A" w:rsidRPr="00355801" w:rsidRDefault="0043206A" w:rsidP="0043206A">
      <w:pPr>
        <w:widowControl w:val="0"/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</w:p>
    <w:p w:rsidR="009859FB" w:rsidRPr="00355801" w:rsidRDefault="009859FB" w:rsidP="0043206A">
      <w:pPr>
        <w:widowControl w:val="0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  <w:r w:rsidRPr="00355801">
        <w:rPr>
          <w:rFonts w:ascii="Calibri" w:hAnsi="Calibri"/>
          <w:b/>
          <w:snapToGrid w:val="0"/>
          <w:color w:val="7030A0"/>
          <w:sz w:val="22"/>
          <w:szCs w:val="22"/>
        </w:rPr>
        <w:t>Vous devez mandater le montant exact de la déclaration au centime près (pas d'arrondi).</w:t>
      </w:r>
    </w:p>
    <w:p w:rsidR="0043206A" w:rsidRPr="00355801" w:rsidRDefault="0043206A" w:rsidP="0043206A">
      <w:pPr>
        <w:widowControl w:val="0"/>
        <w:tabs>
          <w:tab w:val="left" w:pos="851"/>
        </w:tabs>
        <w:ind w:left="851" w:hanging="284"/>
        <w:jc w:val="both"/>
        <w:rPr>
          <w:rFonts w:ascii="Calibri" w:hAnsi="Calibri"/>
          <w:b/>
          <w:snapToGrid w:val="0"/>
          <w:color w:val="7030A0"/>
          <w:sz w:val="22"/>
          <w:szCs w:val="22"/>
        </w:rPr>
      </w:pPr>
    </w:p>
    <w:p w:rsidR="0043206A" w:rsidRPr="00355801" w:rsidRDefault="0043206A" w:rsidP="0043206A">
      <w:pPr>
        <w:widowControl w:val="0"/>
        <w:ind w:left="851"/>
        <w:jc w:val="both"/>
        <w:rPr>
          <w:rFonts w:ascii="Calibri" w:hAnsi="Calibri"/>
          <w:snapToGrid w:val="0"/>
          <w:sz w:val="22"/>
          <w:szCs w:val="22"/>
        </w:rPr>
      </w:pPr>
    </w:p>
    <w:p w:rsidR="00355801" w:rsidRDefault="00355801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B54699" w:rsidRPr="00355801" w:rsidRDefault="00B54699" w:rsidP="009859FB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355801">
        <w:rPr>
          <w:rFonts w:ascii="Calibri" w:hAnsi="Calibri"/>
          <w:snapToGrid w:val="0"/>
          <w:sz w:val="22"/>
          <w:szCs w:val="22"/>
        </w:rPr>
        <w:t>Les services du CDG se tiennent à votre entière disposition pour tout renseignement complémentaire.</w:t>
      </w:r>
    </w:p>
    <w:p w:rsidR="0043206A" w:rsidRPr="00355801" w:rsidRDefault="0043206A" w:rsidP="009859FB">
      <w:pPr>
        <w:pStyle w:val="Retraitcorpsdetexte2"/>
        <w:tabs>
          <w:tab w:val="left" w:pos="4253"/>
          <w:tab w:val="left" w:pos="4820"/>
        </w:tabs>
        <w:spacing w:after="0" w:line="240" w:lineRule="auto"/>
        <w:ind w:left="1276" w:right="-284"/>
        <w:rPr>
          <w:rFonts w:ascii="Calibri" w:hAnsi="Calibri"/>
          <w:iCs/>
          <w:sz w:val="22"/>
          <w:szCs w:val="22"/>
        </w:rPr>
      </w:pPr>
    </w:p>
    <w:p w:rsidR="00B63B31" w:rsidRPr="00355801" w:rsidRDefault="00B63B31" w:rsidP="009859FB">
      <w:pPr>
        <w:pStyle w:val="Retraitcorpsdetexte2"/>
        <w:tabs>
          <w:tab w:val="left" w:pos="4253"/>
          <w:tab w:val="left" w:pos="4820"/>
        </w:tabs>
        <w:spacing w:after="0" w:line="240" w:lineRule="auto"/>
        <w:ind w:left="1276" w:right="-284"/>
        <w:rPr>
          <w:rFonts w:ascii="Calibri" w:hAnsi="Calibri"/>
          <w:iCs/>
          <w:sz w:val="22"/>
          <w:szCs w:val="22"/>
        </w:rPr>
      </w:pPr>
      <w:r w:rsidRPr="00355801">
        <w:rPr>
          <w:rFonts w:ascii="Calibri" w:hAnsi="Calibri"/>
          <w:iCs/>
          <w:sz w:val="22"/>
          <w:szCs w:val="22"/>
        </w:rPr>
        <w:t>Mme Claudine KOLUDZKI</w:t>
      </w:r>
      <w:r w:rsidRPr="00355801">
        <w:rPr>
          <w:rFonts w:ascii="Calibri" w:hAnsi="Calibri"/>
          <w:iCs/>
          <w:sz w:val="22"/>
          <w:szCs w:val="22"/>
        </w:rPr>
        <w:tab/>
      </w:r>
      <w:r w:rsidRPr="00355801">
        <w:rPr>
          <w:rFonts w:ascii="Calibri" w:hAnsi="Calibri"/>
          <w:iCs/>
          <w:sz w:val="22"/>
          <w:szCs w:val="22"/>
        </w:rPr>
        <w:sym w:font="Wingdings" w:char="F0F0"/>
      </w:r>
      <w:r w:rsidRPr="00355801">
        <w:rPr>
          <w:rFonts w:ascii="Calibri" w:hAnsi="Calibri"/>
          <w:iCs/>
          <w:sz w:val="22"/>
          <w:szCs w:val="22"/>
        </w:rPr>
        <w:tab/>
      </w:r>
      <w:r w:rsidR="005268D7" w:rsidRPr="00355801">
        <w:rPr>
          <w:rFonts w:ascii="Calibri" w:hAnsi="Calibri" w:cs="Arial"/>
          <w:iCs/>
          <w:sz w:val="22"/>
          <w:szCs w:val="22"/>
        </w:rPr>
        <w:t>Directrice</w:t>
      </w:r>
      <w:r w:rsidRPr="00355801">
        <w:rPr>
          <w:rFonts w:ascii="Calibri" w:hAnsi="Calibri" w:cs="Arial"/>
          <w:iCs/>
          <w:sz w:val="22"/>
          <w:szCs w:val="22"/>
        </w:rPr>
        <w:t xml:space="preserve"> Général</w:t>
      </w:r>
      <w:r w:rsidR="005268D7" w:rsidRPr="00355801">
        <w:rPr>
          <w:rFonts w:ascii="Calibri" w:hAnsi="Calibri" w:cs="Arial"/>
          <w:iCs/>
          <w:sz w:val="22"/>
          <w:szCs w:val="22"/>
        </w:rPr>
        <w:t>e</w:t>
      </w:r>
      <w:r w:rsidRPr="00355801">
        <w:rPr>
          <w:rFonts w:ascii="Calibri" w:hAnsi="Calibri" w:cs="Arial"/>
          <w:iCs/>
          <w:sz w:val="22"/>
          <w:szCs w:val="22"/>
        </w:rPr>
        <w:t xml:space="preserve"> </w:t>
      </w:r>
    </w:p>
    <w:p w:rsidR="00B63B31" w:rsidRPr="00355801" w:rsidRDefault="00BF042B" w:rsidP="009859FB">
      <w:pPr>
        <w:pStyle w:val="Retraitcorpsdetexte2"/>
        <w:tabs>
          <w:tab w:val="left" w:pos="4253"/>
          <w:tab w:val="left" w:pos="4678"/>
          <w:tab w:val="left" w:pos="4820"/>
        </w:tabs>
        <w:spacing w:after="0" w:line="240" w:lineRule="auto"/>
        <w:ind w:left="1276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Mme Delphine BRUNET</w:t>
      </w:r>
      <w:r w:rsidR="00515EB1" w:rsidRPr="00355801">
        <w:rPr>
          <w:rFonts w:ascii="Calibri" w:hAnsi="Calibri"/>
          <w:iCs/>
          <w:sz w:val="22"/>
          <w:szCs w:val="22"/>
        </w:rPr>
        <w:tab/>
      </w:r>
      <w:r w:rsidR="00515EB1" w:rsidRPr="00355801">
        <w:rPr>
          <w:rFonts w:ascii="Calibri" w:hAnsi="Calibri"/>
          <w:iCs/>
          <w:sz w:val="22"/>
          <w:szCs w:val="22"/>
        </w:rPr>
        <w:sym w:font="Wingdings" w:char="F0F0"/>
      </w:r>
      <w:r w:rsidR="00515EB1" w:rsidRPr="00355801">
        <w:rPr>
          <w:rFonts w:ascii="Calibri" w:hAnsi="Calibri"/>
          <w:iCs/>
          <w:sz w:val="22"/>
          <w:szCs w:val="22"/>
        </w:rPr>
        <w:tab/>
      </w:r>
      <w:r w:rsidR="00515EB1" w:rsidRPr="00355801">
        <w:rPr>
          <w:rFonts w:ascii="Calibri" w:hAnsi="Calibri"/>
          <w:iCs/>
          <w:sz w:val="22"/>
          <w:szCs w:val="22"/>
        </w:rPr>
        <w:tab/>
        <w:t>Service du Recouvrement des COTISATIONS</w:t>
      </w:r>
    </w:p>
    <w:sectPr w:rsidR="00B63B31" w:rsidRPr="00355801" w:rsidSect="00355801">
      <w:pgSz w:w="11909" w:h="16834"/>
      <w:pgMar w:top="709" w:right="1134" w:bottom="709" w:left="1134" w:header="680" w:footer="68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0F71"/>
    <w:multiLevelType w:val="hybridMultilevel"/>
    <w:tmpl w:val="2F507C9E"/>
    <w:lvl w:ilvl="0" w:tplc="C5DE4ED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F"/>
    <w:rsid w:val="00010C15"/>
    <w:rsid w:val="0001268E"/>
    <w:rsid w:val="00013187"/>
    <w:rsid w:val="000649DF"/>
    <w:rsid w:val="000958EA"/>
    <w:rsid w:val="00112999"/>
    <w:rsid w:val="00147CFB"/>
    <w:rsid w:val="001811AB"/>
    <w:rsid w:val="001C1681"/>
    <w:rsid w:val="001E20E7"/>
    <w:rsid w:val="001E3E2E"/>
    <w:rsid w:val="002822F6"/>
    <w:rsid w:val="002875F4"/>
    <w:rsid w:val="00304387"/>
    <w:rsid w:val="0035411C"/>
    <w:rsid w:val="00355801"/>
    <w:rsid w:val="003B050D"/>
    <w:rsid w:val="0043206A"/>
    <w:rsid w:val="00477DE9"/>
    <w:rsid w:val="00495657"/>
    <w:rsid w:val="004B7426"/>
    <w:rsid w:val="004C2141"/>
    <w:rsid w:val="005037DE"/>
    <w:rsid w:val="00515EB1"/>
    <w:rsid w:val="00520629"/>
    <w:rsid w:val="005268D7"/>
    <w:rsid w:val="00670EB5"/>
    <w:rsid w:val="006F3B3A"/>
    <w:rsid w:val="007531A2"/>
    <w:rsid w:val="007A3366"/>
    <w:rsid w:val="00803CAA"/>
    <w:rsid w:val="009859FB"/>
    <w:rsid w:val="009872C1"/>
    <w:rsid w:val="009A0F04"/>
    <w:rsid w:val="00A30DBB"/>
    <w:rsid w:val="00AA7EF4"/>
    <w:rsid w:val="00B03C16"/>
    <w:rsid w:val="00B40173"/>
    <w:rsid w:val="00B51EB2"/>
    <w:rsid w:val="00B54699"/>
    <w:rsid w:val="00B63B31"/>
    <w:rsid w:val="00B7647E"/>
    <w:rsid w:val="00B942FA"/>
    <w:rsid w:val="00BA53DF"/>
    <w:rsid w:val="00BF042B"/>
    <w:rsid w:val="00C16FB2"/>
    <w:rsid w:val="00CB0ABC"/>
    <w:rsid w:val="00CF51A5"/>
    <w:rsid w:val="00D574EB"/>
    <w:rsid w:val="00D973DD"/>
    <w:rsid w:val="00DA1F30"/>
    <w:rsid w:val="00E332C9"/>
    <w:rsid w:val="00E722E2"/>
    <w:rsid w:val="00E73D7C"/>
    <w:rsid w:val="00EA56F6"/>
    <w:rsid w:val="00ED7B7B"/>
    <w:rsid w:val="00F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D821"/>
  <w15:docId w15:val="{339E92FE-A53B-4781-82E6-AF2A101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2F6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822F6"/>
    <w:pPr>
      <w:widowControl w:val="0"/>
      <w:spacing w:before="240"/>
      <w:ind w:firstLine="1134"/>
      <w:jc w:val="both"/>
    </w:pPr>
    <w:rPr>
      <w:snapToGrid w:val="0"/>
      <w:szCs w:val="24"/>
    </w:rPr>
  </w:style>
  <w:style w:type="table" w:styleId="Grilledutableau">
    <w:name w:val="Table Grid"/>
    <w:basedOn w:val="TableauNormal"/>
    <w:rsid w:val="00BA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872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63B31"/>
    <w:rPr>
      <w:color w:val="0000FF"/>
      <w:u w:val="single"/>
    </w:rPr>
  </w:style>
  <w:style w:type="paragraph" w:styleId="Retraitcorpsdetexte2">
    <w:name w:val="Body Text Indent 2"/>
    <w:basedOn w:val="Normal"/>
    <w:rsid w:val="00B63B31"/>
    <w:pPr>
      <w:spacing w:after="120" w:line="480" w:lineRule="auto"/>
      <w:ind w:left="283"/>
    </w:pPr>
  </w:style>
  <w:style w:type="character" w:styleId="lev">
    <w:name w:val="Strong"/>
    <w:basedOn w:val="Policepardfaut"/>
    <w:uiPriority w:val="22"/>
    <w:qFormat/>
    <w:rsid w:val="00985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430">
                                  <w:marLeft w:val="105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8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4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2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4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AC1D-00EE-4210-B465-3F60E578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Delphine BRUNET</cp:lastModifiedBy>
  <cp:revision>3</cp:revision>
  <cp:lastPrinted>2021-01-14T10:00:00Z</cp:lastPrinted>
  <dcterms:created xsi:type="dcterms:W3CDTF">2024-12-05T08:50:00Z</dcterms:created>
  <dcterms:modified xsi:type="dcterms:W3CDTF">2024-12-05T08:53:00Z</dcterms:modified>
</cp:coreProperties>
</file>