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D1" w:rsidRPr="00A76CD1" w:rsidRDefault="00A76CD1" w:rsidP="00A76CD1">
      <w:pPr>
        <w:shd w:val="clear" w:color="auto" w:fill="FFFFFF"/>
        <w:spacing w:before="225" w:after="225" w:line="24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  <w:r w:rsidRPr="00A76CD1">
        <w:rPr>
          <w:rFonts w:eastAsia="Times New Roman" w:cstheme="minorHAnsi"/>
          <w:b/>
          <w:sz w:val="28"/>
          <w:szCs w:val="28"/>
          <w:lang w:eastAsia="fr-FR"/>
        </w:rPr>
        <w:t xml:space="preserve">Les </w:t>
      </w:r>
      <w:r w:rsidRPr="00A76CD1">
        <w:rPr>
          <w:rFonts w:eastAsia="Times New Roman" w:cstheme="minorHAnsi"/>
          <w:b/>
          <w:sz w:val="32"/>
          <w:szCs w:val="28"/>
          <w:lang w:eastAsia="fr-FR"/>
        </w:rPr>
        <w:t>Congés</w:t>
      </w:r>
      <w:r w:rsidRPr="00A76CD1">
        <w:rPr>
          <w:rFonts w:eastAsia="Times New Roman" w:cstheme="minorHAnsi"/>
          <w:b/>
          <w:sz w:val="28"/>
          <w:szCs w:val="28"/>
          <w:lang w:eastAsia="fr-FR"/>
        </w:rPr>
        <w:t xml:space="preserve"> annuels</w:t>
      </w:r>
    </w:p>
    <w:p w:rsidR="00A76CD1" w:rsidRDefault="00A76CD1" w:rsidP="00A76CD1">
      <w:pPr>
        <w:shd w:val="clear" w:color="auto" w:fill="FFFFFF"/>
        <w:spacing w:before="105" w:after="0" w:line="240" w:lineRule="auto"/>
        <w:rPr>
          <w:rFonts w:eastAsia="Times New Roman" w:cstheme="minorHAnsi"/>
          <w:b/>
          <w:bCs/>
          <w:color w:val="666666"/>
          <w:lang w:eastAsia="fr-FR"/>
        </w:rPr>
      </w:pPr>
    </w:p>
    <w:p w:rsidR="00A76CD1" w:rsidRDefault="00A76CD1" w:rsidP="00A76CD1">
      <w:pPr>
        <w:shd w:val="clear" w:color="auto" w:fill="FFFFFF"/>
        <w:spacing w:before="105" w:after="0" w:line="240" w:lineRule="auto"/>
        <w:rPr>
          <w:rFonts w:eastAsia="Times New Roman" w:cstheme="minorHAnsi"/>
          <w:b/>
          <w:bCs/>
          <w:color w:val="666666"/>
          <w:lang w:eastAsia="fr-FR"/>
        </w:rPr>
      </w:pPr>
    </w:p>
    <w:p w:rsidR="00A76CD1" w:rsidRPr="00A76CD1" w:rsidRDefault="00A76CD1" w:rsidP="00A76CD1">
      <w:pPr>
        <w:pStyle w:val="Sansinterligne"/>
        <w:spacing w:line="276" w:lineRule="auto"/>
        <w:rPr>
          <w:i/>
          <w:lang w:eastAsia="fr-FR"/>
        </w:rPr>
      </w:pPr>
      <w:r w:rsidRPr="00A76CD1">
        <w:rPr>
          <w:i/>
          <w:lang w:eastAsia="fr-FR"/>
        </w:rPr>
        <w:t xml:space="preserve">Références : </w:t>
      </w:r>
    </w:p>
    <w:p w:rsidR="00A76CD1" w:rsidRPr="00A76CD1" w:rsidRDefault="00A76CD1" w:rsidP="00A76CD1">
      <w:pPr>
        <w:pStyle w:val="Sansinterligne"/>
        <w:spacing w:line="276" w:lineRule="auto"/>
        <w:rPr>
          <w:i/>
          <w:lang w:eastAsia="fr-FR"/>
        </w:rPr>
      </w:pPr>
      <w:r w:rsidRPr="00A76CD1">
        <w:rPr>
          <w:i/>
          <w:lang w:eastAsia="fr-FR"/>
        </w:rPr>
        <w:t xml:space="preserve">- code général de la fonction publique </w:t>
      </w:r>
    </w:p>
    <w:p w:rsidR="00A76CD1" w:rsidRPr="00A76CD1" w:rsidRDefault="00A76CD1" w:rsidP="00A76CD1">
      <w:pPr>
        <w:pStyle w:val="Sansinterligne"/>
        <w:spacing w:line="276" w:lineRule="auto"/>
        <w:rPr>
          <w:i/>
          <w:lang w:eastAsia="fr-FR"/>
        </w:rPr>
      </w:pPr>
      <w:r w:rsidRPr="00A76CD1">
        <w:rPr>
          <w:i/>
          <w:lang w:eastAsia="fr-FR"/>
        </w:rPr>
        <w:t xml:space="preserve">- décret 85-1250 du 26 novembre 1985, </w:t>
      </w:r>
    </w:p>
    <w:p w:rsidR="00A76CD1" w:rsidRPr="00A76CD1" w:rsidRDefault="00A76CD1" w:rsidP="00A76CD1">
      <w:pPr>
        <w:pStyle w:val="Sansinterligne"/>
        <w:spacing w:line="276" w:lineRule="auto"/>
        <w:rPr>
          <w:i/>
          <w:lang w:eastAsia="fr-FR"/>
        </w:rPr>
      </w:pPr>
      <w:r w:rsidRPr="00A76CD1">
        <w:rPr>
          <w:i/>
          <w:lang w:eastAsia="fr-FR"/>
        </w:rPr>
        <w:t>- décret 88-145 du 15 février 1988, c</w:t>
      </w:r>
    </w:p>
    <w:p w:rsidR="00A76CD1" w:rsidRDefault="00A76CD1" w:rsidP="00A76CD1">
      <w:pPr>
        <w:pStyle w:val="Sansinterligne"/>
        <w:spacing w:line="276" w:lineRule="auto"/>
        <w:rPr>
          <w:i/>
          <w:lang w:eastAsia="fr-FR"/>
        </w:rPr>
      </w:pPr>
      <w:r w:rsidRPr="00A76CD1">
        <w:rPr>
          <w:i/>
          <w:lang w:eastAsia="fr-FR"/>
        </w:rPr>
        <w:t>- code du travail.</w:t>
      </w:r>
    </w:p>
    <w:p w:rsidR="00A76CD1" w:rsidRPr="00A76CD1" w:rsidRDefault="00A76CD1" w:rsidP="00A76CD1">
      <w:pPr>
        <w:pStyle w:val="Sansinterligne"/>
        <w:rPr>
          <w:i/>
          <w:lang w:eastAsia="fr-FR"/>
        </w:rPr>
      </w:pPr>
    </w:p>
    <w:p w:rsidR="00A76CD1" w:rsidRPr="00A76CD1" w:rsidRDefault="00A76CD1" w:rsidP="00A76CD1">
      <w:pPr>
        <w:pStyle w:val="Paragraphedeliste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  <w:r w:rsidRPr="00A76CD1">
        <w:rPr>
          <w:rFonts w:eastAsia="Times New Roman" w:cstheme="minorHAnsi"/>
          <w:b/>
          <w:sz w:val="28"/>
          <w:szCs w:val="28"/>
          <w:lang w:eastAsia="fr-FR"/>
        </w:rPr>
        <w:t>Le principe</w:t>
      </w:r>
    </w:p>
    <w:p w:rsidR="00A76CD1" w:rsidRDefault="00A76CD1" w:rsidP="00A76CD1">
      <w:pP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Le statut affirme le principe selon lequel tout fonctionnaire en activité a le droit à un congé annuel égal à 5 fois ses obligations hebdomadaires de service. C’est-à-dire qu’il est égal à 5 fois le nombre de jours travaillés par l’agent au cours d’une semaine et ce, indépendamment du fait qu’il soit à temps complet, non complet ou partiel et de son temps de travail.</w:t>
      </w:r>
    </w:p>
    <w:p w:rsidR="00A76CD1" w:rsidRPr="00A76CD1" w:rsidRDefault="00A76CD1" w:rsidP="00A76CD1">
      <w:pP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b/>
          <w:bCs/>
          <w:lang w:eastAsia="fr-FR"/>
        </w:rPr>
        <w:t>Exemples :</w:t>
      </w:r>
    </w:p>
    <w:p w:rsidR="00A76CD1" w:rsidRPr="00A76CD1" w:rsidRDefault="00A76CD1" w:rsidP="00E26C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fr-FR"/>
        </w:rPr>
      </w:pPr>
      <w:r>
        <w:rPr>
          <w:lang w:eastAsia="fr-FR"/>
        </w:rPr>
        <w:t xml:space="preserve">- </w:t>
      </w:r>
      <w:r w:rsidRPr="00A76CD1">
        <w:rPr>
          <w:lang w:eastAsia="fr-FR"/>
        </w:rPr>
        <w:t>Un agent travaillant à temps complet 5 jours par semaine a le droit à : 5*5= 25 jours de congés annuels.</w:t>
      </w:r>
    </w:p>
    <w:p w:rsidR="00A76CD1" w:rsidRPr="00A76CD1" w:rsidRDefault="00A76CD1" w:rsidP="00E26C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fr-FR"/>
        </w:rPr>
      </w:pPr>
      <w:r>
        <w:rPr>
          <w:lang w:eastAsia="fr-FR"/>
        </w:rPr>
        <w:t xml:space="preserve">- </w:t>
      </w:r>
      <w:r w:rsidRPr="00A76CD1">
        <w:rPr>
          <w:lang w:eastAsia="fr-FR"/>
        </w:rPr>
        <w:t xml:space="preserve">Un agent travaillant à temps partiel 28 heures par semaine sur 4 jours </w:t>
      </w:r>
      <w:proofErr w:type="gramStart"/>
      <w:r w:rsidRPr="00A76CD1">
        <w:rPr>
          <w:lang w:eastAsia="fr-FR"/>
        </w:rPr>
        <w:t>a</w:t>
      </w:r>
      <w:proofErr w:type="gramEnd"/>
      <w:r w:rsidRPr="00A76CD1">
        <w:rPr>
          <w:lang w:eastAsia="fr-FR"/>
        </w:rPr>
        <w:t xml:space="preserve"> le droit à : 5*4= 20 jours de congés annuels.</w:t>
      </w:r>
    </w:p>
    <w:p w:rsidR="00A76CD1" w:rsidRDefault="00A76CD1" w:rsidP="00E26C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fr-FR"/>
        </w:rPr>
      </w:pPr>
      <w:r>
        <w:rPr>
          <w:lang w:eastAsia="fr-FR"/>
        </w:rPr>
        <w:t xml:space="preserve">- </w:t>
      </w:r>
      <w:r w:rsidRPr="00A76CD1">
        <w:rPr>
          <w:lang w:eastAsia="fr-FR"/>
        </w:rPr>
        <w:t>Un agent à temps non complet 20 heures par semaine sur 4 jours aura également 20 jours de congés annuels (5*4).</w:t>
      </w:r>
    </w:p>
    <w:p w:rsidR="00A76CD1" w:rsidRPr="00A76CD1" w:rsidRDefault="00A76CD1" w:rsidP="00A76CD1">
      <w:pP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</w:p>
    <w:p w:rsidR="00A76CD1" w:rsidRPr="00A76CD1" w:rsidRDefault="00A76CD1" w:rsidP="00A76CD1">
      <w:pPr>
        <w:shd w:val="clear" w:color="auto" w:fill="FFFFFF"/>
        <w:spacing w:before="105" w:after="0"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A76CD1">
        <w:rPr>
          <w:rFonts w:eastAsia="Times New Roman" w:cstheme="minorHAnsi"/>
          <w:u w:val="single"/>
          <w:lang w:eastAsia="fr-FR"/>
        </w:rPr>
        <w:t>Ce principe est étendu aux agents contractuels de droit public.</w:t>
      </w:r>
    </w:p>
    <w:p w:rsidR="00A76CD1" w:rsidRPr="00A76CD1" w:rsidRDefault="00A76CD1" w:rsidP="00A76CD1">
      <w:pP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</w:p>
    <w:p w:rsidR="00A76CD1" w:rsidRDefault="00A76CD1" w:rsidP="00A76CD1">
      <w:pPr>
        <w:pStyle w:val="Sansinterligne"/>
        <w:spacing w:line="276" w:lineRule="auto"/>
        <w:jc w:val="both"/>
        <w:rPr>
          <w:lang w:eastAsia="fr-FR"/>
        </w:rPr>
      </w:pPr>
      <w:r w:rsidRPr="00A76CD1">
        <w:rPr>
          <w:lang w:eastAsia="fr-FR"/>
        </w:rPr>
        <w:t xml:space="preserve">La période de référence pour le calcul des congés est l’année civile : du 1er janvier au 31 décembre. </w:t>
      </w:r>
    </w:p>
    <w:p w:rsidR="00A76CD1" w:rsidRDefault="00A76CD1" w:rsidP="00A76CD1">
      <w:pPr>
        <w:pStyle w:val="Sansinterligne"/>
        <w:spacing w:line="276" w:lineRule="auto"/>
        <w:jc w:val="both"/>
        <w:rPr>
          <w:lang w:eastAsia="fr-FR"/>
        </w:rPr>
      </w:pPr>
      <w:r w:rsidRPr="00A76CD1">
        <w:rPr>
          <w:lang w:eastAsia="fr-FR"/>
        </w:rPr>
        <w:t xml:space="preserve">En principe, les jours de congés annuels sont à prendre pendant l’année en cours, le report étant interdit sauf sur autorisation exceptionnelle de l’autorité territoriale. </w:t>
      </w:r>
    </w:p>
    <w:p w:rsidR="00A76CD1" w:rsidRPr="00A76CD1" w:rsidRDefault="00A76CD1" w:rsidP="00A76CD1">
      <w:pPr>
        <w:pStyle w:val="Sansinterligne"/>
        <w:spacing w:line="276" w:lineRule="auto"/>
        <w:jc w:val="both"/>
        <w:rPr>
          <w:lang w:eastAsia="fr-FR"/>
        </w:rPr>
      </w:pPr>
      <w:r w:rsidRPr="00A76CD1">
        <w:rPr>
          <w:lang w:eastAsia="fr-FR"/>
        </w:rPr>
        <w:t>Pour éviter les pertes, un agent a le droit d’ouvrir un compte épargne temps (CET) afin de placer des jours de congés non pris.</w:t>
      </w:r>
    </w:p>
    <w:p w:rsidR="00A76CD1" w:rsidRPr="00A76CD1" w:rsidRDefault="00A76CD1" w:rsidP="00A76CD1">
      <w:pPr>
        <w:pStyle w:val="Sansinterligne"/>
        <w:spacing w:line="276" w:lineRule="auto"/>
        <w:jc w:val="both"/>
        <w:rPr>
          <w:lang w:eastAsia="fr-FR"/>
        </w:rPr>
      </w:pPr>
      <w:r w:rsidRPr="00A76CD1">
        <w:rPr>
          <w:lang w:eastAsia="fr-FR"/>
        </w:rPr>
        <w:t>Le congé annuel se calcule en jours ouvrés c’est-à-dire les jours où l’agent travaille.</w:t>
      </w:r>
    </w:p>
    <w:p w:rsidR="00A76CD1" w:rsidRPr="00A76CD1" w:rsidRDefault="00A76CD1" w:rsidP="00A76CD1">
      <w:pPr>
        <w:pStyle w:val="Sansinterligne"/>
        <w:spacing w:line="276" w:lineRule="auto"/>
        <w:jc w:val="both"/>
        <w:rPr>
          <w:lang w:eastAsia="fr-FR"/>
        </w:rPr>
      </w:pPr>
      <w:r w:rsidRPr="00A76CD1">
        <w:rPr>
          <w:lang w:eastAsia="fr-FR"/>
        </w:rPr>
        <w:t>Ainsi, un agent travaillant 5 jours par semaine qui prend 2 semaines de congés annuels utilise 10 jours sur les 25 de son total de départ.</w:t>
      </w:r>
    </w:p>
    <w:p w:rsidR="00A76CD1" w:rsidRDefault="00A76CD1" w:rsidP="00A76CD1">
      <w:pPr>
        <w:pStyle w:val="Sansinterligne"/>
        <w:spacing w:line="276" w:lineRule="auto"/>
        <w:jc w:val="both"/>
        <w:rPr>
          <w:lang w:eastAsia="fr-FR"/>
        </w:rPr>
      </w:pPr>
      <w:r w:rsidRPr="00A76CD1">
        <w:rPr>
          <w:lang w:eastAsia="fr-FR"/>
        </w:rPr>
        <w:t>Attention : un agent ne peut être absent plus de 31 jours calendaires. Aussi, le congé annuel est nécessairement fractionné.</w:t>
      </w:r>
    </w:p>
    <w:p w:rsidR="00A76CD1" w:rsidRDefault="00A76CD1" w:rsidP="00A76CD1">
      <w:pPr>
        <w:pStyle w:val="Sansinterligne"/>
        <w:jc w:val="both"/>
        <w:rPr>
          <w:lang w:eastAsia="fr-FR"/>
        </w:rPr>
      </w:pP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Pour les agents arrivant ou partant de la collectivité en cours d’année</w:t>
      </w:r>
      <w:r>
        <w:rPr>
          <w:rFonts w:eastAsia="Times New Roman" w:cstheme="minorHAnsi"/>
          <w:lang w:eastAsia="fr-FR"/>
        </w:rPr>
        <w:t>, l</w:t>
      </w:r>
      <w:r w:rsidRPr="00A76CD1">
        <w:rPr>
          <w:rFonts w:eastAsia="Times New Roman" w:cstheme="minorHAnsi"/>
          <w:lang w:eastAsia="fr-FR"/>
        </w:rPr>
        <w:t>a durée du congé annuel est calculée au prorata du temps passé dans la collectivité pendant l’année en cours. Le calcul est arrondi à la demi-journée supérieure.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b/>
          <w:bCs/>
          <w:lang w:eastAsia="fr-FR"/>
        </w:rPr>
        <w:t>Exemples :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lastRenderedPageBreak/>
        <w:t>Un agent recruté le 1er juin à temps complet, 5 jours par semaine aura : 5*5= 25* 7/12= 14.58 arrondi à 15 jours de congés annuels pour l’année.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Un agent qui travaille 3 jours par semaine quitte la collectivité le 1er octobre. Il aura : 5*3= 15* 9/12= 11.25 arrondi à 11,5 jours de congés annuels.</w:t>
      </w:r>
    </w:p>
    <w:p w:rsidR="00A76CD1" w:rsidRPr="00A76CD1" w:rsidRDefault="00A76CD1" w:rsidP="00A76CD1">
      <w:pP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</w:p>
    <w:p w:rsidR="00A76CD1" w:rsidRPr="00A76CD1" w:rsidRDefault="00A76CD1" w:rsidP="00A76CD1">
      <w:pPr>
        <w:pStyle w:val="Paragraphedeliste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  <w:r w:rsidRPr="00A76CD1">
        <w:rPr>
          <w:rFonts w:eastAsia="Times New Roman" w:cstheme="minorHAnsi"/>
          <w:b/>
          <w:sz w:val="28"/>
          <w:szCs w:val="28"/>
          <w:lang w:eastAsia="fr-FR"/>
        </w:rPr>
        <w:t>Les jours de fractionnement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Lorsqu’un agent prend 5, 6 ou 7 jours de congés annuels en dehors de la période qui va du 1er mai au 31 octobre, il a le droit à un jour de congé annuel supplémentaire appelé congé de fractionnement.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Si ce même agent prend 8 jours de congés annuels ou plus en dehors de la période précitée alors il bénéficie d’un second jour de fractionnement.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Ainsi un agent peut avoir 2 jours de congés supplémentaires par an. Ces jours de fractionnement sont à prendre obligatoirement pendant l’année où l’agent les a acquis. Le report de ces jours sur l’année n’est pas possible.</w:t>
      </w:r>
    </w:p>
    <w:p w:rsidR="00A76CD1" w:rsidRPr="00A76CD1" w:rsidRDefault="00A76CD1" w:rsidP="00A76CD1">
      <w:pPr>
        <w:pStyle w:val="Paragraphedeliste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  <w:r w:rsidRPr="00A76CD1">
        <w:rPr>
          <w:rFonts w:eastAsia="Times New Roman" w:cstheme="minorHAnsi"/>
          <w:b/>
          <w:sz w:val="28"/>
          <w:szCs w:val="28"/>
          <w:lang w:eastAsia="fr-FR"/>
        </w:rPr>
        <w:t>Calendrier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Le calendrier des congés est fixé avec l’accord préalable de l’autorité territoriale. Il peut être échelonné pour l’année et doit tenir compte des nécessités de service.</w:t>
      </w:r>
    </w:p>
    <w:p w:rsidR="00A76CD1" w:rsidRPr="00A76CD1" w:rsidRDefault="00A76CD1" w:rsidP="00A76CD1">
      <w:pPr>
        <w:pStyle w:val="Paragraphedeliste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  <w:r w:rsidRPr="00A76CD1">
        <w:rPr>
          <w:rFonts w:eastAsia="Times New Roman" w:cstheme="minorHAnsi"/>
          <w:b/>
          <w:sz w:val="28"/>
          <w:szCs w:val="28"/>
          <w:lang w:eastAsia="fr-FR"/>
        </w:rPr>
        <w:t>Congés non pris</w:t>
      </w:r>
    </w:p>
    <w:p w:rsidR="00E26CFA" w:rsidRPr="00E26CFA" w:rsidRDefault="00E26CFA" w:rsidP="00E26CFA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E26CFA">
        <w:rPr>
          <w:rFonts w:eastAsia="Times New Roman" w:cstheme="minorHAnsi"/>
          <w:lang w:eastAsia="fr-FR"/>
        </w:rPr>
        <w:t xml:space="preserve">En principe, un congé non pris ne peut donner lieu à indemnité compensatrice. </w:t>
      </w:r>
    </w:p>
    <w:p w:rsidR="00E26CFA" w:rsidRPr="00E26CFA" w:rsidRDefault="00E26CFA" w:rsidP="00E26CFA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E26CFA">
        <w:rPr>
          <w:rFonts w:eastAsia="Times New Roman" w:cstheme="minorHAnsi"/>
          <w:lang w:eastAsia="fr-FR"/>
        </w:rPr>
        <w:t>Ils peuvent être déposés sur un compte épargne temps (CET) sous réserve d</w:t>
      </w:r>
      <w:r>
        <w:rPr>
          <w:rFonts w:eastAsia="Times New Roman" w:cstheme="minorHAnsi"/>
          <w:lang w:eastAsia="fr-FR"/>
        </w:rPr>
        <w:t xml:space="preserve">es dispositions applicables au </w:t>
      </w:r>
      <w:r w:rsidRPr="00E26CFA">
        <w:rPr>
          <w:rFonts w:eastAsia="Times New Roman" w:cstheme="minorHAnsi"/>
          <w:lang w:eastAsia="fr-FR"/>
        </w:rPr>
        <w:t>CET.</w:t>
      </w:r>
    </w:p>
    <w:p w:rsidR="00E26CFA" w:rsidRDefault="00E26CFA" w:rsidP="00E26CFA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E26CFA">
        <w:rPr>
          <w:rFonts w:eastAsia="Times New Roman" w:cstheme="minorHAnsi"/>
          <w:lang w:eastAsia="fr-FR"/>
        </w:rPr>
        <w:t xml:space="preserve">Par exception, un agent non titulaire qui n’a pas été en mesure de prendre </w:t>
      </w:r>
      <w:r>
        <w:rPr>
          <w:rFonts w:eastAsia="Times New Roman" w:cstheme="minorHAnsi"/>
          <w:lang w:eastAsia="fr-FR"/>
        </w:rPr>
        <w:t>tout ou partie de ses congés an</w:t>
      </w:r>
      <w:r w:rsidRPr="00E26CFA">
        <w:rPr>
          <w:rFonts w:eastAsia="Times New Roman" w:cstheme="minorHAnsi"/>
          <w:lang w:eastAsia="fr-FR"/>
        </w:rPr>
        <w:t>nuels pendant la durée de son contrat du fait de l’administration peu</w:t>
      </w:r>
      <w:r>
        <w:rPr>
          <w:rFonts w:eastAsia="Times New Roman" w:cstheme="minorHAnsi"/>
          <w:lang w:eastAsia="fr-FR"/>
        </w:rPr>
        <w:t xml:space="preserve">t se voir verser une indemnité </w:t>
      </w:r>
      <w:r w:rsidRPr="00E26CFA">
        <w:rPr>
          <w:rFonts w:eastAsia="Times New Roman" w:cstheme="minorHAnsi"/>
          <w:lang w:eastAsia="fr-FR"/>
        </w:rPr>
        <w:t>compensatrice de congés annuels. Cette indemnité est égale à 1/10ème de l</w:t>
      </w:r>
      <w:r>
        <w:rPr>
          <w:rFonts w:eastAsia="Times New Roman" w:cstheme="minorHAnsi"/>
          <w:lang w:eastAsia="fr-FR"/>
        </w:rPr>
        <w:t>a rémunération totale brute per</w:t>
      </w:r>
      <w:r w:rsidRPr="00E26CFA">
        <w:rPr>
          <w:rFonts w:eastAsia="Times New Roman" w:cstheme="minorHAnsi"/>
          <w:lang w:eastAsia="fr-FR"/>
        </w:rPr>
        <w:t xml:space="preserve">çue par l’agent. Elle est proportionnelle au nombre de congés annuels dus et </w:t>
      </w:r>
      <w:r>
        <w:rPr>
          <w:rFonts w:eastAsia="Times New Roman" w:cstheme="minorHAnsi"/>
          <w:lang w:eastAsia="fr-FR"/>
        </w:rPr>
        <w:t>non pris si l’agent a pu bénéfi</w:t>
      </w:r>
      <w:r w:rsidRPr="00E26CFA">
        <w:rPr>
          <w:rFonts w:eastAsia="Times New Roman" w:cstheme="minorHAnsi"/>
          <w:lang w:eastAsia="fr-FR"/>
        </w:rPr>
        <w:t>cier d’une partie de ses congé</w:t>
      </w:r>
      <w:r>
        <w:rPr>
          <w:rFonts w:eastAsia="Times New Roman" w:cstheme="minorHAnsi"/>
          <w:lang w:eastAsia="fr-FR"/>
        </w:rPr>
        <w:t>s.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 xml:space="preserve">S’il en a pris une partie, l’indemnité est </w:t>
      </w:r>
      <w:r w:rsidR="00E26CFA">
        <w:rPr>
          <w:rFonts w:eastAsia="Times New Roman" w:cstheme="minorHAnsi"/>
          <w:lang w:eastAsia="fr-FR"/>
        </w:rPr>
        <w:t xml:space="preserve">due </w:t>
      </w:r>
      <w:r w:rsidRPr="00A76CD1">
        <w:rPr>
          <w:rFonts w:eastAsia="Times New Roman" w:cstheme="minorHAnsi"/>
          <w:lang w:eastAsia="fr-FR"/>
        </w:rPr>
        <w:t>au prorata du nombre de congés non pris par rapport au nombre de jours de congés total auquel il a le droit.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Elle est soumise aux mêmes retenues que la rémunération.</w:t>
      </w:r>
    </w:p>
    <w:p w:rsidR="00A76CD1" w:rsidRPr="00A76CD1" w:rsidRDefault="00A76CD1" w:rsidP="00A76CD1">
      <w:pP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Cette indemnité ne peut être inférieure à ce que l’agent aurait perçu, en termes de rémunération, s’il avait pris ses congés.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40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b/>
          <w:bCs/>
          <w:lang w:eastAsia="fr-FR"/>
        </w:rPr>
        <w:t>Exemples :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Une personne est embauchée en tant qu’adjoint d’animation pendant 2 mois. Elle est recrutée en tant qu’agent contractuel de droit public. Sa rémunération est de 1500€ brut par mois. A l’issue de ces 2 mois, son contrat n’est pas renouvelé et l’agent n’a pu prendre aucun congé du fait de l’activité.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Son indemnité compensatrice est de : 1500*2= 3000 * 1/10= 300€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lastRenderedPageBreak/>
        <w:t>Reprenons la même situation mais cette fois, l’agent avait le droit à 3 jours de congés annuels pendant son contrat et il n’a pu en prendre que deux du fait de l’activité.</w:t>
      </w:r>
    </w:p>
    <w:p w:rsidR="00A76CD1" w:rsidRPr="00A76CD1" w:rsidRDefault="00A76CD1" w:rsidP="00E2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5" w:after="0" w:line="276" w:lineRule="auto"/>
        <w:jc w:val="both"/>
        <w:rPr>
          <w:rFonts w:eastAsia="Times New Roman" w:cstheme="minorHAnsi"/>
          <w:lang w:eastAsia="fr-FR"/>
        </w:rPr>
      </w:pPr>
      <w:r w:rsidRPr="00A76CD1">
        <w:rPr>
          <w:rFonts w:eastAsia="Times New Roman" w:cstheme="minorHAnsi"/>
          <w:lang w:eastAsia="fr-FR"/>
        </w:rPr>
        <w:t>Cette fois l’indemnité sera de : 1500*2= 3000 * 1/10= 300 * 1/3= 100€</w:t>
      </w:r>
    </w:p>
    <w:p w:rsidR="00E26CFA" w:rsidRDefault="00A76CD1" w:rsidP="00E26CFA">
      <w:pPr>
        <w:pStyle w:val="Paragraphedeliste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  <w:r w:rsidRPr="00A76CD1">
        <w:rPr>
          <w:rFonts w:eastAsia="Times New Roman" w:cstheme="minorHAnsi"/>
          <w:b/>
          <w:sz w:val="28"/>
          <w:szCs w:val="28"/>
          <w:lang w:eastAsia="fr-FR"/>
        </w:rPr>
        <w:t> </w:t>
      </w:r>
      <w:r w:rsidR="00E26CFA" w:rsidRPr="00E26CFA">
        <w:rPr>
          <w:rFonts w:eastAsia="Times New Roman" w:cstheme="minorHAnsi"/>
          <w:b/>
          <w:sz w:val="28"/>
          <w:szCs w:val="28"/>
          <w:lang w:eastAsia="fr-FR"/>
        </w:rPr>
        <w:t>Interruption des congés annuels</w:t>
      </w:r>
    </w:p>
    <w:p w:rsidR="00E26CFA" w:rsidRPr="00E26CFA" w:rsidRDefault="00E26CFA" w:rsidP="00E26CFA">
      <w:pPr>
        <w:pStyle w:val="Paragraphedeliste"/>
        <w:shd w:val="clear" w:color="auto" w:fill="FFFFFF"/>
        <w:spacing w:before="225" w:after="225" w:line="240" w:lineRule="auto"/>
        <w:jc w:val="both"/>
        <w:outlineLvl w:val="1"/>
        <w:rPr>
          <w:rFonts w:eastAsia="Times New Roman" w:cstheme="minorHAnsi"/>
          <w:b/>
          <w:sz w:val="28"/>
          <w:szCs w:val="28"/>
          <w:lang w:eastAsia="fr-FR"/>
        </w:rPr>
      </w:pPr>
    </w:p>
    <w:p w:rsidR="00E26CFA" w:rsidRDefault="00E26CFA" w:rsidP="00E26CFA">
      <w:pPr>
        <w:pStyle w:val="Paragraphedeliste"/>
        <w:numPr>
          <w:ilvl w:val="0"/>
          <w:numId w:val="5"/>
        </w:numPr>
        <w:ind w:left="142"/>
        <w:jc w:val="both"/>
        <w:rPr>
          <w:rFonts w:cstheme="minorHAnsi"/>
        </w:rPr>
      </w:pPr>
      <w:r w:rsidRPr="00E26CFA">
        <w:rPr>
          <w:rFonts w:cstheme="minorHAnsi"/>
        </w:rPr>
        <w:t xml:space="preserve">Congés annuels et nécessités de service : Dans des </w:t>
      </w:r>
      <w:r w:rsidRPr="00E26CFA">
        <w:rPr>
          <w:rFonts w:cstheme="minorHAnsi"/>
        </w:rPr>
        <w:t xml:space="preserve">circonstances exceptionnelles, </w:t>
      </w:r>
      <w:r w:rsidRPr="00E26CFA">
        <w:rPr>
          <w:rFonts w:cstheme="minorHAnsi"/>
        </w:rPr>
        <w:t xml:space="preserve">le juge administratif admet que le congé annuel </w:t>
      </w:r>
      <w:r w:rsidRPr="00E26CFA">
        <w:rPr>
          <w:rFonts w:cstheme="minorHAnsi"/>
        </w:rPr>
        <w:t xml:space="preserve">soit interrompu par l’autorité </w:t>
      </w:r>
      <w:r w:rsidRPr="00E26CFA">
        <w:rPr>
          <w:rFonts w:cstheme="minorHAnsi"/>
        </w:rPr>
        <w:t>territoriale pour faire face à des nécessités de servic</w:t>
      </w:r>
      <w:r w:rsidRPr="00E26CFA">
        <w:rPr>
          <w:rFonts w:cstheme="minorHAnsi"/>
        </w:rPr>
        <w:t xml:space="preserve">e ou à une situation d’urgence </w:t>
      </w:r>
      <w:r w:rsidRPr="00E26CFA">
        <w:rPr>
          <w:rFonts w:cstheme="minorHAnsi"/>
        </w:rPr>
        <w:t xml:space="preserve">(CAA Paris 19.10.2005 n° 02PA01519). </w:t>
      </w:r>
    </w:p>
    <w:p w:rsidR="00E26CFA" w:rsidRPr="00E26CFA" w:rsidRDefault="00E26CFA" w:rsidP="00E26CFA">
      <w:pPr>
        <w:pStyle w:val="Paragraphedeliste"/>
        <w:ind w:left="142"/>
        <w:jc w:val="both"/>
        <w:rPr>
          <w:rFonts w:cstheme="minorHAnsi"/>
        </w:rPr>
      </w:pPr>
    </w:p>
    <w:p w:rsidR="00E26CFA" w:rsidRPr="00E26CFA" w:rsidRDefault="00E26CFA" w:rsidP="00E26CFA">
      <w:pPr>
        <w:pStyle w:val="Paragraphedeliste"/>
        <w:numPr>
          <w:ilvl w:val="0"/>
          <w:numId w:val="5"/>
        </w:numPr>
        <w:ind w:left="142"/>
        <w:jc w:val="both"/>
        <w:rPr>
          <w:rFonts w:cstheme="minorHAnsi"/>
        </w:rPr>
      </w:pPr>
      <w:r w:rsidRPr="00E26CFA">
        <w:rPr>
          <w:rFonts w:cstheme="minorHAnsi"/>
        </w:rPr>
        <w:t>Congés annuels et congés de maladie : L’interrup</w:t>
      </w:r>
      <w:r w:rsidRPr="00E26CFA">
        <w:rPr>
          <w:rFonts w:cstheme="minorHAnsi"/>
        </w:rPr>
        <w:t xml:space="preserve">tion des congés annuels par la </w:t>
      </w:r>
      <w:r w:rsidRPr="00E26CFA">
        <w:rPr>
          <w:rFonts w:cstheme="minorHAnsi"/>
        </w:rPr>
        <w:t>maladie est automatique et obligatoi</w:t>
      </w:r>
      <w:r w:rsidRPr="00E26CFA">
        <w:rPr>
          <w:rFonts w:cstheme="minorHAnsi"/>
        </w:rPr>
        <w:t xml:space="preserve">re (CJUE C-78/11 du 21.06.12). </w:t>
      </w:r>
    </w:p>
    <w:p w:rsidR="0027072C" w:rsidRDefault="00E26CFA" w:rsidP="00E26CFA">
      <w:pPr>
        <w:jc w:val="both"/>
        <w:rPr>
          <w:rFonts w:cstheme="minorHAnsi"/>
        </w:rPr>
      </w:pPr>
      <w:r w:rsidRPr="00E26CFA">
        <w:rPr>
          <w:rFonts w:cstheme="minorHAnsi"/>
        </w:rPr>
        <w:t>Cette interruption entraîne le report des congés annuels, suivant les nécessités</w:t>
      </w:r>
      <w:r>
        <w:rPr>
          <w:rFonts w:cstheme="minorHAnsi"/>
        </w:rPr>
        <w:t xml:space="preserve"> de service, soit à l’issue du </w:t>
      </w:r>
      <w:r w:rsidRPr="00E26CFA">
        <w:rPr>
          <w:rFonts w:cstheme="minorHAnsi"/>
        </w:rPr>
        <w:t>congé de maladie ou ultérieurement.</w:t>
      </w:r>
    </w:p>
    <w:p w:rsidR="00E26CFA" w:rsidRDefault="00E26CFA" w:rsidP="00E26CFA">
      <w:pPr>
        <w:jc w:val="both"/>
        <w:rPr>
          <w:rFonts w:cstheme="minorHAnsi"/>
        </w:rPr>
      </w:pPr>
    </w:p>
    <w:p w:rsidR="00E26CFA" w:rsidRDefault="00E26CFA" w:rsidP="00E26CF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b/>
          <w:sz w:val="28"/>
          <w:szCs w:val="28"/>
          <w:lang w:eastAsia="fr-FR"/>
        </w:rPr>
      </w:pPr>
      <w:r w:rsidRPr="00E26CFA">
        <w:rPr>
          <w:rFonts w:eastAsia="Times New Roman" w:cstheme="minorHAnsi"/>
          <w:b/>
          <w:sz w:val="28"/>
          <w:szCs w:val="28"/>
          <w:lang w:eastAsia="fr-FR"/>
        </w:rPr>
        <w:t>Report des congés annuels</w:t>
      </w:r>
    </w:p>
    <w:p w:rsidR="00E26CFA" w:rsidRPr="00E26CFA" w:rsidRDefault="00E26CFA" w:rsidP="00E26CFA">
      <w:pPr>
        <w:pStyle w:val="Paragraphedeliste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:rsidR="00E26CFA" w:rsidRDefault="00E26CFA" w:rsidP="00E26CFA">
      <w:pPr>
        <w:pStyle w:val="Paragraphedeliste"/>
        <w:numPr>
          <w:ilvl w:val="0"/>
          <w:numId w:val="6"/>
        </w:numPr>
        <w:ind w:left="142"/>
        <w:jc w:val="both"/>
        <w:rPr>
          <w:rFonts w:cstheme="minorHAnsi"/>
        </w:rPr>
      </w:pPr>
      <w:r w:rsidRPr="00E26CFA">
        <w:rPr>
          <w:rFonts w:cstheme="minorHAnsi"/>
        </w:rPr>
        <w:t>Principe général : En principe, les congés dus pour une année ne p</w:t>
      </w:r>
      <w:r w:rsidRPr="00E26CFA">
        <w:rPr>
          <w:rFonts w:cstheme="minorHAnsi"/>
        </w:rPr>
        <w:t xml:space="preserve">euvent se reporter sur l’année </w:t>
      </w:r>
      <w:r w:rsidRPr="00E26CFA">
        <w:rPr>
          <w:rFonts w:cstheme="minorHAnsi"/>
        </w:rPr>
        <w:t>suivante, sauf autorisation exceptionnelle de l’autorité territoriale. Ils sont</w:t>
      </w:r>
      <w:r w:rsidRPr="00E26CFA">
        <w:rPr>
          <w:rFonts w:cstheme="minorHAnsi"/>
        </w:rPr>
        <w:t xml:space="preserve"> donc pris par anticipation et </w:t>
      </w:r>
      <w:r w:rsidRPr="00E26CFA">
        <w:rPr>
          <w:rFonts w:cstheme="minorHAnsi"/>
        </w:rPr>
        <w:t>doivent être soldés au 31 décembre.</w:t>
      </w:r>
    </w:p>
    <w:p w:rsidR="00E26CFA" w:rsidRPr="00E26CFA" w:rsidRDefault="00E26CFA" w:rsidP="00E26CFA">
      <w:pPr>
        <w:pStyle w:val="Paragraphedeliste"/>
        <w:ind w:left="142"/>
        <w:jc w:val="both"/>
        <w:rPr>
          <w:rFonts w:cstheme="minorHAnsi"/>
        </w:rPr>
      </w:pPr>
    </w:p>
    <w:p w:rsidR="00E26CFA" w:rsidRPr="00E26CFA" w:rsidRDefault="00E26CFA" w:rsidP="00E26CFA">
      <w:pPr>
        <w:pStyle w:val="Paragraphedeliste"/>
        <w:numPr>
          <w:ilvl w:val="0"/>
          <w:numId w:val="6"/>
        </w:numPr>
        <w:ind w:left="142"/>
        <w:jc w:val="both"/>
        <w:rPr>
          <w:rFonts w:cstheme="minorHAnsi"/>
        </w:rPr>
      </w:pPr>
      <w:r w:rsidRPr="00E26CFA">
        <w:rPr>
          <w:rFonts w:cstheme="minorHAnsi"/>
        </w:rPr>
        <w:t>Pour cause de maladie : Lorsqu’il existe un reliquat</w:t>
      </w:r>
      <w:r w:rsidRPr="00E26CFA">
        <w:rPr>
          <w:rFonts w:cstheme="minorHAnsi"/>
        </w:rPr>
        <w:t xml:space="preserve"> de congés annuels non pris en </w:t>
      </w:r>
      <w:r w:rsidRPr="00E26CFA">
        <w:rPr>
          <w:rFonts w:cstheme="minorHAnsi"/>
        </w:rPr>
        <w:t>raison d’absence pour maladie, le délai de repor</w:t>
      </w:r>
      <w:r w:rsidRPr="00E26CFA">
        <w:rPr>
          <w:rFonts w:cstheme="minorHAnsi"/>
        </w:rPr>
        <w:t xml:space="preserve">t </w:t>
      </w:r>
      <w:r>
        <w:rPr>
          <w:rFonts w:cstheme="minorHAnsi"/>
        </w:rPr>
        <w:t>est</w:t>
      </w:r>
      <w:r w:rsidRPr="00E26CFA">
        <w:rPr>
          <w:rFonts w:cstheme="minorHAnsi"/>
        </w:rPr>
        <w:t xml:space="preserve"> limité à 15 mois </w:t>
      </w:r>
      <w:r>
        <w:rPr>
          <w:rFonts w:cstheme="minorHAnsi"/>
        </w:rPr>
        <w:t xml:space="preserve">pour 20j max </w:t>
      </w:r>
      <w:bookmarkStart w:id="0" w:name="_GoBack"/>
      <w:bookmarkEnd w:id="0"/>
      <w:r w:rsidRPr="00E26CFA">
        <w:rPr>
          <w:rFonts w:cstheme="minorHAnsi"/>
        </w:rPr>
        <w:t xml:space="preserve">à </w:t>
      </w:r>
      <w:r w:rsidRPr="00E26CFA">
        <w:rPr>
          <w:rFonts w:cstheme="minorHAnsi"/>
        </w:rPr>
        <w:t>compter de la</w:t>
      </w:r>
      <w:r>
        <w:rPr>
          <w:rFonts w:cstheme="minorHAnsi"/>
        </w:rPr>
        <w:t xml:space="preserve"> fin de la période de référence</w:t>
      </w:r>
      <w:r w:rsidRPr="00E26CFA">
        <w:rPr>
          <w:rFonts w:cstheme="minorHAnsi"/>
        </w:rPr>
        <w:t xml:space="preserve"> </w:t>
      </w:r>
      <w:r w:rsidRPr="00E26CFA">
        <w:rPr>
          <w:rFonts w:cstheme="minorHAnsi"/>
        </w:rPr>
        <w:t xml:space="preserve">(CJCE C-214/10 du 22.11.2011). </w:t>
      </w:r>
    </w:p>
    <w:sectPr w:rsidR="00E26CFA" w:rsidRPr="00E2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81C"/>
    <w:multiLevelType w:val="hybridMultilevel"/>
    <w:tmpl w:val="2F3C72E2"/>
    <w:lvl w:ilvl="0" w:tplc="464E8D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1254"/>
    <w:multiLevelType w:val="hybridMultilevel"/>
    <w:tmpl w:val="C7B61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217F"/>
    <w:multiLevelType w:val="hybridMultilevel"/>
    <w:tmpl w:val="9A042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07A9"/>
    <w:multiLevelType w:val="hybridMultilevel"/>
    <w:tmpl w:val="CC764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1348"/>
    <w:multiLevelType w:val="hybridMultilevel"/>
    <w:tmpl w:val="B3FE8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70477"/>
    <w:multiLevelType w:val="hybridMultilevel"/>
    <w:tmpl w:val="65200E26"/>
    <w:lvl w:ilvl="0" w:tplc="464E8D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D1"/>
    <w:rsid w:val="0027072C"/>
    <w:rsid w:val="00A76CD1"/>
    <w:rsid w:val="00E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2483"/>
  <w15:chartTrackingRefBased/>
  <w15:docId w15:val="{615B2618-3F57-49B4-9E5F-9DB74C3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6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76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6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6C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6C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6C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7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6CD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76CD1"/>
    <w:rPr>
      <w:color w:val="0000FF"/>
      <w:u w:val="single"/>
    </w:rPr>
  </w:style>
  <w:style w:type="paragraph" w:styleId="Sansinterligne">
    <w:name w:val="No Spacing"/>
    <w:uiPriority w:val="1"/>
    <w:qFormat/>
    <w:rsid w:val="00A76C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7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MEJDOUB</dc:creator>
  <cp:keywords/>
  <dc:description/>
  <cp:lastModifiedBy>Yamina MEJDOUB</cp:lastModifiedBy>
  <cp:revision>1</cp:revision>
  <dcterms:created xsi:type="dcterms:W3CDTF">2022-12-01T12:50:00Z</dcterms:created>
  <dcterms:modified xsi:type="dcterms:W3CDTF">2022-12-01T13:10:00Z</dcterms:modified>
</cp:coreProperties>
</file>